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3780"/>
        </w:tabs>
      </w:pPr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-1183640</wp:posOffset>
            </wp:positionH>
            <wp:positionV relativeFrom="paragraph">
              <wp:posOffset>-1050925</wp:posOffset>
            </wp:positionV>
            <wp:extent cx="7666990" cy="10829290"/>
            <wp:effectExtent l="0" t="0" r="10160" b="10160"/>
            <wp:wrapNone/>
            <wp:docPr id="4" name="图片 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66990" cy="1082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4"/>
        <w:spacing w:before="0" w:beforeAutospacing="0" w:after="0" w:afterAutospacing="0" w:line="440" w:lineRule="exact"/>
        <w:rPr>
          <w:rFonts w:ascii="楷体" w:hAnsi="楷体" w:eastAsia="楷体" w:cs="楷体"/>
          <w:color w:val="000000"/>
        </w:rPr>
      </w:pPr>
    </w:p>
    <w:p>
      <w:pPr>
        <w:pStyle w:val="4"/>
        <w:spacing w:before="0" w:beforeAutospacing="0" w:after="0" w:afterAutospacing="0" w:line="440" w:lineRule="exact"/>
        <w:rPr>
          <w:rFonts w:ascii="楷体" w:hAnsi="楷体" w:eastAsia="楷体" w:cs="楷体"/>
          <w:color w:val="000000"/>
        </w:rPr>
      </w:pPr>
      <w:r>
        <w:rPr>
          <w:rFonts w:hint="eastAsia" w:ascii="楷体" w:hAnsi="楷体" w:eastAsia="楷体" w:cs="楷体"/>
          <w:color w:val="000000"/>
        </w:rPr>
        <w:t>尊敬的</w:t>
      </w:r>
      <w:r>
        <w:rPr>
          <w:rFonts w:hint="eastAsia" w:ascii="楷体" w:hAnsi="楷体" w:eastAsia="楷体" w:cs="楷体"/>
          <w:color w:val="000000"/>
          <w:u w:val="single"/>
        </w:rPr>
        <w:t>　　   　</w:t>
      </w:r>
      <w:r>
        <w:rPr>
          <w:rFonts w:hint="eastAsia" w:ascii="楷体" w:hAnsi="楷体" w:eastAsia="楷体" w:cs="楷体"/>
          <w:color w:val="000000"/>
        </w:rPr>
        <w:t>女士/先生：</w:t>
      </w:r>
    </w:p>
    <w:p>
      <w:pPr>
        <w:pStyle w:val="4"/>
        <w:spacing w:before="156" w:beforeLines="50" w:after="156" w:afterLines="50" w:line="440" w:lineRule="exact"/>
        <w:ind w:firstLine="480" w:firstLineChars="200"/>
        <w:rPr>
          <w:rFonts w:ascii="楷体" w:hAnsi="楷体" w:eastAsia="楷体"/>
          <w:color w:val="000000"/>
        </w:rPr>
      </w:pPr>
      <w:r>
        <w:rPr>
          <w:rFonts w:hint="eastAsia" w:ascii="楷体_GB2312" w:hAnsi="楷体_GB2312" w:eastAsia="楷体_GB2312" w:cs="楷体_GB2312"/>
        </w:rPr>
        <w:t>您好！由中国有色金属工业协会主办; 上海期货交易所、中国有色金属工业协会再生金属分会、上海钢联电子商务股份有限公司（我的有色网）承办</w:t>
      </w:r>
      <w:r>
        <w:rPr>
          <w:rFonts w:hint="eastAsia" w:ascii="楷体" w:hAnsi="楷体" w:eastAsia="楷体"/>
          <w:color w:val="000000"/>
        </w:rPr>
        <w:t>的“2019年再生铜产业链高峰论坛”将于2019年4月19-20日在宁波隆重召开。我们诚挚地邀请您莅临本次盛会, 共同积极探索新的一年</w:t>
      </w:r>
      <w:r>
        <w:rPr>
          <w:rFonts w:hint="eastAsia" w:ascii="楷体" w:hAnsi="楷体" w:eastAsia="楷体"/>
          <w:bCs/>
          <w:color w:val="000000"/>
        </w:rPr>
        <w:t>中国铜金属产业</w:t>
      </w:r>
      <w:r>
        <w:rPr>
          <w:rFonts w:hint="eastAsia" w:ascii="楷体" w:hAnsi="楷体" w:eastAsia="楷体"/>
          <w:color w:val="000000"/>
        </w:rPr>
        <w:t>发展之路。</w:t>
      </w:r>
    </w:p>
    <w:p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楷体_GB2312" w:hAnsi="楷体_GB2312" w:eastAsia="楷体_GB2312" w:cs="楷体_GB2312"/>
          <w:kern w:val="0"/>
          <w:sz w:val="24"/>
        </w:rPr>
      </w:pPr>
      <w:r>
        <w:rPr>
          <w:rFonts w:hint="eastAsia" w:ascii="楷体_GB2312" w:hAnsi="楷体_GB2312" w:eastAsia="楷体_GB2312" w:cs="楷体_GB2312"/>
          <w:kern w:val="0"/>
          <w:sz w:val="24"/>
        </w:rPr>
        <w:t>2018</w:t>
      </w:r>
      <w:r>
        <w:rPr>
          <w:rFonts w:eastAsia="楷体_GB2312" w:cs="Calibri"/>
          <w:kern w:val="0"/>
          <w:sz w:val="24"/>
        </w:rPr>
        <w:t> </w:t>
      </w:r>
      <w:r>
        <w:rPr>
          <w:rFonts w:hint="eastAsia" w:ascii="楷体_GB2312" w:hAnsi="楷体_GB2312" w:eastAsia="楷体_GB2312" w:cs="楷体_GB2312"/>
          <w:kern w:val="0"/>
          <w:sz w:val="24"/>
        </w:rPr>
        <w:t>年开始逐步执行的禁止进口废七类、取消贸易单位进口废铜资格，以及虚开增值税严查、环保严查等约束下， 2018年全国进口铜废料受到明显的制约，进口量与去年同比大幅锐减。</w:t>
      </w:r>
    </w:p>
    <w:p>
      <w:pPr>
        <w:widowControl/>
        <w:shd w:val="clear" w:color="auto" w:fill="FFFFFF"/>
        <w:spacing w:after="150" w:line="480" w:lineRule="atLeast"/>
        <w:ind w:firstLine="480"/>
        <w:jc w:val="left"/>
        <w:rPr>
          <w:rFonts w:hint="eastAsia" w:ascii="楷体_GB2312" w:hAnsi="楷体_GB2312" w:eastAsia="楷体_GB2312" w:cs="楷体_GB2312"/>
          <w:kern w:val="0"/>
          <w:sz w:val="24"/>
        </w:rPr>
      </w:pPr>
      <w:r>
        <w:rPr>
          <w:rFonts w:hint="eastAsia" w:ascii="楷体_GB2312" w:hAnsi="楷体_GB2312" w:eastAsia="楷体_GB2312" w:cs="楷体_GB2312"/>
          <w:kern w:val="0"/>
          <w:sz w:val="24"/>
        </w:rPr>
        <w:t>2</w:t>
      </w:r>
      <w:r>
        <w:rPr>
          <w:rFonts w:ascii="楷体_GB2312" w:hAnsi="楷体_GB2312" w:eastAsia="楷体_GB2312" w:cs="楷体_GB2312"/>
          <w:kern w:val="0"/>
          <w:sz w:val="24"/>
        </w:rPr>
        <w:t>018</w:t>
      </w:r>
      <w:r>
        <w:rPr>
          <w:rFonts w:hint="eastAsia" w:ascii="楷体_GB2312" w:hAnsi="楷体_GB2312" w:eastAsia="楷体_GB2312" w:cs="楷体_GB2312"/>
          <w:kern w:val="0"/>
          <w:sz w:val="24"/>
        </w:rPr>
        <w:t>年1-1</w:t>
      </w:r>
      <w:r>
        <w:rPr>
          <w:rFonts w:ascii="楷体_GB2312" w:hAnsi="楷体_GB2312" w:eastAsia="楷体_GB2312" w:cs="楷体_GB2312"/>
          <w:kern w:val="0"/>
          <w:sz w:val="24"/>
        </w:rPr>
        <w:t>2</w:t>
      </w:r>
      <w:r>
        <w:rPr>
          <w:rFonts w:hint="eastAsia" w:ascii="楷体_GB2312" w:hAnsi="楷体_GB2312" w:eastAsia="楷体_GB2312" w:cs="楷体_GB2312"/>
          <w:kern w:val="0"/>
          <w:sz w:val="24"/>
        </w:rPr>
        <w:t>月废铜进口总量同比下滑34%，废铜总量减少很大原因在于“废七”类废铜的进口限制。其次，因“废七”转变为“废六”，导致进口废铜总体铜品位抬升，金属量减少远小于实物量。2017年进口废铜平均铜品位在37-38%，2018年1-1</w:t>
      </w:r>
      <w:r>
        <w:rPr>
          <w:rFonts w:ascii="楷体_GB2312" w:hAnsi="楷体_GB2312" w:eastAsia="楷体_GB2312" w:cs="楷体_GB2312"/>
          <w:kern w:val="0"/>
          <w:sz w:val="24"/>
        </w:rPr>
        <w:t>2</w:t>
      </w:r>
      <w:r>
        <w:rPr>
          <w:rFonts w:hint="eastAsia" w:ascii="楷体_GB2312" w:hAnsi="楷体_GB2312" w:eastAsia="楷体_GB2312" w:cs="楷体_GB2312"/>
          <w:kern w:val="0"/>
          <w:sz w:val="24"/>
        </w:rPr>
        <w:t>月为</w:t>
      </w:r>
      <w:r>
        <w:rPr>
          <w:rFonts w:ascii="楷体_GB2312" w:hAnsi="楷体_GB2312" w:eastAsia="楷体_GB2312" w:cs="楷体_GB2312"/>
          <w:kern w:val="0"/>
          <w:sz w:val="24"/>
        </w:rPr>
        <w:t>57</w:t>
      </w:r>
      <w:r>
        <w:rPr>
          <w:rFonts w:hint="eastAsia" w:ascii="楷体_GB2312" w:hAnsi="楷体_GB2312" w:eastAsia="楷体_GB2312" w:cs="楷体_GB2312"/>
          <w:kern w:val="0"/>
          <w:sz w:val="24"/>
        </w:rPr>
        <w:t>%左右。</w:t>
      </w:r>
    </w:p>
    <w:p>
      <w:pPr>
        <w:widowControl/>
        <w:shd w:val="clear" w:color="auto" w:fill="FFFFFF"/>
        <w:spacing w:after="150" w:line="480" w:lineRule="atLeast"/>
        <w:ind w:firstLine="480"/>
        <w:jc w:val="left"/>
        <w:rPr>
          <w:rFonts w:ascii="楷体_GB2312" w:hAnsi="楷体_GB2312" w:eastAsia="楷体_GB2312" w:cs="楷体_GB2312"/>
          <w:kern w:val="0"/>
          <w:sz w:val="24"/>
        </w:rPr>
      </w:pPr>
      <w:r>
        <w:rPr>
          <w:rFonts w:hint="eastAsia" w:ascii="楷体_GB2312" w:hAnsi="楷体_GB2312" w:eastAsia="楷体_GB2312" w:cs="楷体_GB2312"/>
          <w:kern w:val="0"/>
          <w:sz w:val="24"/>
        </w:rPr>
        <w:t>2019年执行禁止“废七”类废铜进口及更加严格的进口审批制度后，我国铜进口量或将削减7</w:t>
      </w:r>
      <w:r>
        <w:rPr>
          <w:rFonts w:ascii="楷体_GB2312" w:hAnsi="楷体_GB2312" w:eastAsia="楷体_GB2312" w:cs="楷体_GB2312"/>
          <w:kern w:val="0"/>
          <w:sz w:val="24"/>
        </w:rPr>
        <w:t>0</w:t>
      </w:r>
      <w:r>
        <w:rPr>
          <w:rFonts w:hint="eastAsia" w:ascii="楷体_GB2312" w:hAnsi="楷体_GB2312" w:eastAsia="楷体_GB2312" w:cs="楷体_GB2312"/>
          <w:kern w:val="0"/>
          <w:sz w:val="24"/>
        </w:rPr>
        <w:t>万吨以上。因铜价的疲弱和环保趋严，减少的废铜短期难以靠国产废铜来弥补，年内出现进口和国产废铜双降态势。</w:t>
      </w:r>
    </w:p>
    <w:p>
      <w:pPr>
        <w:pStyle w:val="4"/>
        <w:spacing w:before="156" w:beforeLines="50" w:after="156" w:afterLines="50" w:line="440" w:lineRule="exact"/>
        <w:ind w:firstLine="480" w:firstLineChars="200"/>
        <w:rPr>
          <w:rFonts w:ascii="楷体_GB2312" w:hAnsi="楷体_GB2312" w:eastAsia="楷体_GB2312" w:cs="楷体_GB2312"/>
          <w:color w:val="000000"/>
        </w:rPr>
      </w:pPr>
      <w:r>
        <w:rPr>
          <w:rFonts w:hint="eastAsia" w:ascii="楷体" w:hAnsi="楷体" w:eastAsia="楷体"/>
          <w:color w:val="000000"/>
        </w:rPr>
        <w:t>2019年，机构预计“废六”类将在7月之后开始限制类进口，7月之后六类废铜需要配额才能进口，废铜下半年供应是否更加紧张？精铜是否能被拉动？在废铜进口政策持续收紧的背景下，废铜缺口如何补足？下游企业如何对应？期货、期权等金融工具能否帮助企业控制风险？</w:t>
      </w:r>
    </w:p>
    <w:p>
      <w:pPr>
        <w:pStyle w:val="4"/>
        <w:spacing w:before="156" w:beforeLines="50" w:after="156" w:afterLines="50" w:line="440" w:lineRule="exact"/>
        <w:ind w:firstLine="480" w:firstLineChars="200"/>
        <w:rPr>
          <w:rFonts w:hint="eastAsia" w:ascii="楷体_GB2312" w:hAnsi="楷体_GB2312" w:eastAsia="楷体_GB2312" w:cs="楷体_GB2312"/>
          <w:color w:val="000000"/>
        </w:rPr>
      </w:pPr>
      <w:r>
        <w:rPr>
          <w:rFonts w:hint="eastAsia" w:ascii="楷体" w:hAnsi="楷体" w:eastAsia="楷体"/>
          <w:color w:val="000000"/>
        </w:rPr>
        <w:t>“2019年中国再生金属产业链高峰论坛”</w:t>
      </w:r>
      <w:r>
        <w:rPr>
          <w:rFonts w:hint="eastAsia" w:ascii="楷体_GB2312" w:hAnsi="楷体_GB2312" w:eastAsia="楷体_GB2312" w:cs="楷体_GB2312"/>
          <w:color w:val="000000"/>
        </w:rPr>
        <w:t>，将力邀知名经济学家、再生铜产业链以及金融行业的学者和实战专家从多角度展望</w:t>
      </w:r>
      <w:r>
        <w:rPr>
          <w:rFonts w:ascii="楷体_GB2312" w:hAnsi="楷体_GB2312" w:eastAsia="楷体_GB2312" w:cs="楷体_GB2312"/>
          <w:color w:val="000000"/>
        </w:rPr>
        <w:t>2019</w:t>
      </w:r>
      <w:r>
        <w:rPr>
          <w:rFonts w:hint="eastAsia" w:ascii="楷体_GB2312" w:hAnsi="楷体_GB2312" w:eastAsia="楷体_GB2312" w:cs="楷体_GB2312"/>
          <w:color w:val="000000"/>
        </w:rPr>
        <w:t>年中国再生铜金属及铜市场。</w:t>
      </w:r>
      <w:r>
        <w:rPr>
          <w:rFonts w:hint="eastAsia" w:ascii="楷体" w:hAnsi="楷体" w:eastAsia="楷体"/>
          <w:color w:val="00000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26670</wp:posOffset>
            </wp:positionV>
            <wp:extent cx="1797685" cy="1797685"/>
            <wp:effectExtent l="0" t="0" r="12065" b="12065"/>
            <wp:wrapNone/>
            <wp:docPr id="1" name="图片 6" descr="钢联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钢联章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797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ind w:firstLine="562" w:firstLineChars="200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 xml:space="preserve">                           上海钢联电子商务股份有限公司</w:t>
      </w:r>
    </w:p>
    <w:p>
      <w:pPr>
        <w:spacing w:line="360" w:lineRule="auto"/>
        <w:ind w:firstLine="562" w:firstLineChars="200"/>
        <w:jc w:val="left"/>
        <w:rPr>
          <w:rFonts w:ascii="楷体" w:hAnsi="楷体" w:eastAsia="楷体"/>
          <w:b/>
          <w:bCs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 xml:space="preserve">                               二O一九年二月二十三日</w:t>
      </w:r>
    </w:p>
    <w:p>
      <w:pPr>
        <w:spacing w:before="156" w:beforeLines="50" w:line="360" w:lineRule="auto"/>
        <w:jc w:val="center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</w:rPr>
        <w:br w:type="page"/>
      </w:r>
      <w:r>
        <w:rPr>
          <w:rFonts w:hint="eastAsia" w:ascii="微软雅黑" w:hAnsi="微软雅黑" w:eastAsia="微软雅黑" w:cs="微软雅黑"/>
          <w:b/>
          <w:sz w:val="36"/>
          <w:szCs w:val="36"/>
        </w:rPr>
        <w:t>会 议 简 介</w:t>
      </w:r>
    </w:p>
    <w:p>
      <w:pPr>
        <w:spacing w:line="520" w:lineRule="exact"/>
        <w:jc w:val="left"/>
        <w:rPr>
          <w:rFonts w:ascii="楷体" w:hAnsi="楷体" w:eastAsia="楷体"/>
          <w:b/>
          <w:sz w:val="28"/>
          <w:szCs w:val="28"/>
        </w:rPr>
      </w:pPr>
    </w:p>
    <w:p>
      <w:pPr>
        <w:spacing w:line="520" w:lineRule="exact"/>
        <w:jc w:val="left"/>
        <w:rPr>
          <w:rFonts w:ascii="仿宋" w:hAnsi="仿宋" w:eastAsia="楷体"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会议时间：</w:t>
      </w:r>
      <w:r>
        <w:rPr>
          <w:rFonts w:hint="eastAsia" w:ascii="楷体" w:hAnsi="楷体" w:eastAsia="楷体"/>
          <w:sz w:val="28"/>
          <w:szCs w:val="28"/>
        </w:rPr>
        <w:t xml:space="preserve">2019年4月19-20日  </w:t>
      </w:r>
    </w:p>
    <w:p>
      <w:pPr>
        <w:spacing w:line="520" w:lineRule="exact"/>
        <w:jc w:val="left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会议地点：</w:t>
      </w:r>
      <w:r>
        <w:rPr>
          <w:rFonts w:hint="eastAsia" w:ascii="楷体" w:hAnsi="楷体" w:eastAsia="楷体"/>
          <w:bCs/>
          <w:sz w:val="28"/>
          <w:szCs w:val="28"/>
        </w:rPr>
        <w:t>宁波南苑饭店</w:t>
      </w:r>
    </w:p>
    <w:p>
      <w:pPr>
        <w:spacing w:line="520" w:lineRule="exact"/>
        <w:jc w:val="left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酒店位置：</w:t>
      </w:r>
      <w:r>
        <w:rPr>
          <w:rFonts w:hint="eastAsia" w:ascii="楷体" w:hAnsi="楷体" w:eastAsia="楷体"/>
          <w:bCs/>
          <w:sz w:val="28"/>
          <w:szCs w:val="28"/>
        </w:rPr>
        <w:t xml:space="preserve">浙江省宁波市海曙区灵桥路2号 </w:t>
      </w:r>
    </w:p>
    <w:p>
      <w:pPr>
        <w:tabs>
          <w:tab w:val="left" w:pos="1873"/>
        </w:tabs>
        <w:spacing w:line="520" w:lineRule="exact"/>
        <w:rPr>
          <w:rFonts w:ascii="楷体" w:hAnsi="楷体" w:eastAsia="楷体"/>
          <w:bCs/>
          <w:sz w:val="28"/>
          <w:szCs w:val="28"/>
        </w:rPr>
      </w:pPr>
      <w:r>
        <w:rPr>
          <w:rFonts w:hint="eastAsia" w:ascii="楷体" w:hAnsi="楷体" w:eastAsia="楷体"/>
          <w:b/>
          <w:sz w:val="28"/>
          <w:szCs w:val="28"/>
        </w:rPr>
        <w:t>主办单位：</w:t>
      </w:r>
      <w:r>
        <w:rPr>
          <w:rFonts w:hint="eastAsia" w:ascii="楷体" w:hAnsi="楷体" w:eastAsia="楷体"/>
          <w:bCs/>
          <w:sz w:val="28"/>
          <w:szCs w:val="28"/>
        </w:rPr>
        <w:t>中国有色金属工业协会</w:t>
      </w:r>
    </w:p>
    <w:p>
      <w:pPr>
        <w:tabs>
          <w:tab w:val="left" w:pos="1873"/>
        </w:tabs>
        <w:spacing w:line="520" w:lineRule="exact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b/>
          <w:bCs/>
          <w:sz w:val="28"/>
          <w:szCs w:val="28"/>
        </w:rPr>
        <w:t>承办单位：</w:t>
      </w:r>
      <w:r>
        <w:rPr>
          <w:rFonts w:hint="eastAsia" w:ascii="楷体" w:hAnsi="楷体" w:eastAsia="楷体"/>
          <w:sz w:val="28"/>
          <w:szCs w:val="28"/>
        </w:rPr>
        <w:t>上海期货交易所  中国有色金属工业协会再生金属分会</w:t>
      </w:r>
    </w:p>
    <w:p>
      <w:pPr>
        <w:tabs>
          <w:tab w:val="left" w:pos="1873"/>
        </w:tabs>
        <w:spacing w:line="520" w:lineRule="exact"/>
        <w:ind w:firstLine="1400" w:firstLineChars="500"/>
        <w:rPr>
          <w:rFonts w:ascii="楷体" w:hAnsi="楷体" w:eastAsia="楷体"/>
          <w:sz w:val="28"/>
          <w:szCs w:val="28"/>
        </w:rPr>
      </w:pPr>
      <w:r>
        <w:rPr>
          <w:rFonts w:hint="eastAsia" w:ascii="楷体" w:hAnsi="楷体" w:eastAsia="楷体"/>
          <w:sz w:val="28"/>
          <w:szCs w:val="28"/>
        </w:rPr>
        <w:t>上海钢联电子商务股份有限公司</w:t>
      </w:r>
      <w:r>
        <w:rPr>
          <w:rFonts w:hint="eastAsia" w:ascii="楷体" w:hAnsi="楷体" w:eastAsia="楷体"/>
          <w:sz w:val="22"/>
          <w:szCs w:val="22"/>
        </w:rPr>
        <w:t>（我的有色网）</w:t>
      </w:r>
      <w:r>
        <w:rPr>
          <w:rFonts w:ascii="楷体" w:hAnsi="楷体" w:eastAsia="楷体"/>
          <w:sz w:val="28"/>
          <w:szCs w:val="28"/>
        </w:rPr>
        <w:t xml:space="preserve">  </w:t>
      </w:r>
    </w:p>
    <w:p>
      <w:pPr>
        <w:spacing w:line="440" w:lineRule="exact"/>
        <w:rPr>
          <w:rFonts w:hint="eastAsia" w:ascii="楷体" w:hAnsi="楷体" w:eastAsia="楷体" w:cs="楷体"/>
          <w:b/>
          <w:bCs/>
          <w:sz w:val="28"/>
          <w:szCs w:val="28"/>
        </w:rPr>
      </w:pP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hint="eastAsia" w:ascii="楷体" w:hAnsi="楷体" w:eastAsia="楷体" w:cs="楷体"/>
          <w:b/>
          <w:sz w:val="36"/>
          <w:szCs w:val="36"/>
        </w:rPr>
        <w:t xml:space="preserve"> </w:t>
      </w:r>
      <w:r>
        <w:rPr>
          <w:rFonts w:hint="eastAsia" w:ascii="微软雅黑" w:hAnsi="微软雅黑" w:eastAsia="微软雅黑" w:cs="微软雅黑"/>
          <w:b/>
          <w:sz w:val="36"/>
          <w:szCs w:val="36"/>
        </w:rPr>
        <w:t>会 议 关 注 热 点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sz w:val="36"/>
          <w:szCs w:val="36"/>
        </w:rPr>
      </w:pPr>
    </w:p>
    <w:p>
      <w:pPr>
        <w:tabs>
          <w:tab w:val="left" w:pos="1873"/>
        </w:tabs>
        <w:spacing w:line="440" w:lineRule="exact"/>
        <w:ind w:left="843" w:hanging="843" w:hangingChars="30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宏观</w:t>
      </w:r>
      <w:r>
        <w:rPr>
          <w:rFonts w:hint="eastAsia" w:ascii="楷体" w:hAnsi="楷体" w:eastAsia="楷体" w:cs="楷体"/>
          <w:sz w:val="28"/>
          <w:szCs w:val="28"/>
        </w:rPr>
        <w:t>：2018年中国经济下行压力有所加大，经济增长降速。</w:t>
      </w:r>
    </w:p>
    <w:p>
      <w:pPr>
        <w:tabs>
          <w:tab w:val="left" w:pos="1873"/>
        </w:tabs>
        <w:spacing w:line="440" w:lineRule="exact"/>
        <w:ind w:left="840" w:hanging="840" w:hangingChars="300"/>
        <w:jc w:val="left"/>
        <w:rPr>
          <w:rFonts w:hint="eastAsia" w:ascii="楷体" w:hAnsi="楷体" w:eastAsia="楷体" w:cs="楷体"/>
          <w:sz w:val="28"/>
          <w:szCs w:val="28"/>
        </w:rPr>
      </w:pPr>
    </w:p>
    <w:p>
      <w:pPr>
        <w:tabs>
          <w:tab w:val="left" w:pos="1873"/>
        </w:tabs>
        <w:spacing w:line="440" w:lineRule="exact"/>
        <w:ind w:left="843" w:hanging="843" w:hangingChars="300"/>
        <w:jc w:val="left"/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政策</w:t>
      </w:r>
      <w:r>
        <w:rPr>
          <w:rFonts w:hint="eastAsia" w:ascii="楷体" w:hAnsi="楷体" w:eastAsia="楷体" w:cs="楷体"/>
          <w:sz w:val="28"/>
          <w:szCs w:val="28"/>
        </w:rPr>
        <w:t>：</w:t>
      </w:r>
      <w:r>
        <w:rPr>
          <w:rFonts w:hint="eastAsia" w:ascii="楷体" w:hAnsi="楷体" w:eastAsia="楷体" w:cs="楷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废七类已全面禁止，废六类也岌岌可危，国内再生铜市场能否达到供需？</w:t>
      </w:r>
    </w:p>
    <w:p>
      <w:pPr>
        <w:tabs>
          <w:tab w:val="left" w:pos="1873"/>
        </w:tabs>
        <w:spacing w:line="440" w:lineRule="exact"/>
        <w:ind w:left="843" w:hanging="843" w:hangingChars="300"/>
        <w:jc w:val="left"/>
        <w:rPr>
          <w:rFonts w:ascii="楷体" w:hAnsi="楷体" w:eastAsia="楷体" w:cs="楷体"/>
          <w:b/>
          <w:bCs/>
          <w:sz w:val="28"/>
          <w:szCs w:val="28"/>
        </w:rPr>
      </w:pPr>
    </w:p>
    <w:p>
      <w:pPr>
        <w:tabs>
          <w:tab w:val="left" w:pos="1873"/>
        </w:tabs>
        <w:spacing w:line="440" w:lineRule="exact"/>
        <w:ind w:left="843" w:hanging="843" w:hangingChars="300"/>
        <w:jc w:val="left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财税：</w:t>
      </w:r>
      <w:r>
        <w:rPr>
          <w:rFonts w:hint="eastAsia" w:ascii="楷体" w:hAnsi="楷体" w:eastAsia="楷体" w:cs="楷体"/>
          <w:bCs/>
          <w:sz w:val="28"/>
          <w:szCs w:val="28"/>
        </w:rPr>
        <w:t>税改变化，再生铜退税政策如何变化</w:t>
      </w:r>
      <w:r>
        <w:rPr>
          <w:rFonts w:hint="eastAsia" w:ascii="楷体" w:hAnsi="楷体" w:eastAsia="楷体" w:cs="楷体"/>
          <w:sz w:val="28"/>
          <w:szCs w:val="28"/>
        </w:rPr>
        <w:t>？</w:t>
      </w:r>
    </w:p>
    <w:p>
      <w:pPr>
        <w:tabs>
          <w:tab w:val="left" w:pos="1873"/>
        </w:tabs>
        <w:spacing w:line="440" w:lineRule="exact"/>
        <w:jc w:val="left"/>
        <w:rPr>
          <w:rFonts w:ascii="楷体" w:hAnsi="楷体" w:eastAsia="楷体" w:cs="楷体"/>
          <w:b/>
          <w:bCs/>
          <w:sz w:val="28"/>
          <w:szCs w:val="28"/>
        </w:rPr>
      </w:pPr>
    </w:p>
    <w:p>
      <w:pPr>
        <w:tabs>
          <w:tab w:val="left" w:pos="1873"/>
        </w:tabs>
        <w:spacing w:line="440" w:lineRule="exact"/>
        <w:jc w:val="left"/>
        <w:rPr>
          <w:rFonts w:hint="eastAsia"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金融</w:t>
      </w:r>
      <w:r>
        <w:rPr>
          <w:rFonts w:hint="eastAsia" w:ascii="楷体" w:hAnsi="楷体" w:eastAsia="楷体" w:cs="楷体"/>
          <w:sz w:val="28"/>
          <w:szCs w:val="28"/>
        </w:rPr>
        <w:t>：铜金属期货、期权交易如何更好的服务实体企业？</w:t>
      </w:r>
    </w:p>
    <w:p>
      <w:pPr>
        <w:tabs>
          <w:tab w:val="left" w:pos="1873"/>
        </w:tabs>
        <w:spacing w:line="440" w:lineRule="exact"/>
        <w:jc w:val="left"/>
        <w:rPr>
          <w:rFonts w:ascii="楷体" w:hAnsi="楷体" w:eastAsia="楷体" w:cs="楷体"/>
          <w:b/>
          <w:bCs/>
          <w:sz w:val="28"/>
          <w:szCs w:val="28"/>
        </w:rPr>
      </w:pPr>
    </w:p>
    <w:p>
      <w:pPr>
        <w:tabs>
          <w:tab w:val="left" w:pos="1873"/>
        </w:tabs>
        <w:spacing w:line="440" w:lineRule="exact"/>
        <w:jc w:val="left"/>
        <w:rPr>
          <w:rFonts w:ascii="楷体" w:hAnsi="楷体" w:eastAsia="楷体" w:cs="楷体"/>
          <w:bCs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sz w:val="28"/>
          <w:szCs w:val="28"/>
        </w:rPr>
        <w:t>产业：</w:t>
      </w:r>
      <w:r>
        <w:rPr>
          <w:rFonts w:ascii="楷体" w:hAnsi="楷体" w:eastAsia="楷体" w:cs="楷体"/>
          <w:sz w:val="28"/>
          <w:szCs w:val="28"/>
        </w:rPr>
        <w:t xml:space="preserve"> </w:t>
      </w:r>
      <w:r>
        <w:rPr>
          <w:rFonts w:hint="eastAsia" w:ascii="楷体" w:hAnsi="楷体" w:eastAsia="楷体" w:cs="楷体"/>
          <w:bCs/>
          <w:sz w:val="28"/>
          <w:szCs w:val="28"/>
        </w:rPr>
        <w:t>2019年再生金</w:t>
      </w:r>
      <w:r>
        <w:rPr>
          <w:rFonts w:hint="eastAsia" w:ascii="楷体" w:hAnsi="楷体" w:eastAsia="楷体" w:cs="楷体"/>
          <w:sz w:val="28"/>
          <w:szCs w:val="28"/>
        </w:rPr>
        <w:t>属市场发展现状及趋势解读</w:t>
      </w:r>
    </w:p>
    <w:p>
      <w:pPr>
        <w:tabs>
          <w:tab w:val="left" w:pos="1873"/>
        </w:tabs>
        <w:spacing w:line="440" w:lineRule="exact"/>
        <w:ind w:firstLine="1120" w:firstLineChars="40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2019年全球铜矿供应格局变化及趋势发展</w:t>
      </w:r>
    </w:p>
    <w:p>
      <w:pPr>
        <w:tabs>
          <w:tab w:val="left" w:pos="1873"/>
        </w:tabs>
        <w:spacing w:line="440" w:lineRule="exact"/>
        <w:ind w:firstLine="1120" w:firstLineChars="40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201</w:t>
      </w:r>
      <w:r>
        <w:rPr>
          <w:rFonts w:ascii="楷体" w:hAnsi="楷体" w:eastAsia="楷体" w:cs="楷体"/>
          <w:sz w:val="28"/>
          <w:szCs w:val="28"/>
        </w:rPr>
        <w:t>9</w:t>
      </w:r>
      <w:r>
        <w:rPr>
          <w:rFonts w:hint="eastAsia" w:ascii="楷体" w:hAnsi="楷体" w:eastAsia="楷体" w:cs="楷体"/>
          <w:sz w:val="28"/>
          <w:szCs w:val="28"/>
        </w:rPr>
        <w:t>年铜市场基本面分析及后市展望</w:t>
      </w:r>
    </w:p>
    <w:p>
      <w:pPr>
        <w:tabs>
          <w:tab w:val="left" w:pos="1873"/>
        </w:tabs>
        <w:spacing w:line="440" w:lineRule="exact"/>
        <w:ind w:firstLine="1120" w:firstLineChars="400"/>
        <w:jc w:val="left"/>
        <w:rPr>
          <w:rFonts w:ascii="楷体" w:hAnsi="楷体" w:eastAsia="楷体" w:cs="楷体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2019年冶炼产业运行情况解析</w:t>
      </w:r>
    </w:p>
    <w:p>
      <w:pPr>
        <w:tabs>
          <w:tab w:val="left" w:pos="1873"/>
        </w:tabs>
        <w:spacing w:line="440" w:lineRule="exact"/>
        <w:jc w:val="left"/>
        <w:rPr>
          <w:rFonts w:ascii="楷体" w:hAnsi="楷体" w:eastAsia="楷体" w:cs="楷体"/>
          <w:sz w:val="24"/>
        </w:rPr>
      </w:pPr>
      <w:r>
        <w:rPr>
          <w:rFonts w:hint="eastAsia" w:ascii="楷体" w:hAnsi="楷体" w:eastAsia="楷体" w:cs="楷体"/>
          <w:sz w:val="24"/>
        </w:rPr>
        <w:t xml:space="preserve"> </w:t>
      </w:r>
    </w:p>
    <w:p>
      <w:pPr>
        <w:spacing w:line="360" w:lineRule="auto"/>
        <w:ind w:firstLine="1084" w:firstLineChars="300"/>
        <w:rPr>
          <w:rFonts w:ascii="楷体" w:hAnsi="楷体" w:eastAsia="楷体" w:cs="楷体"/>
          <w:b/>
          <w:sz w:val="36"/>
          <w:szCs w:val="36"/>
        </w:rPr>
      </w:pPr>
      <w:r>
        <w:rPr>
          <w:rFonts w:hint="eastAsia" w:ascii="楷体" w:hAnsi="楷体" w:eastAsia="楷体" w:cs="楷体"/>
          <w:b/>
          <w:sz w:val="36"/>
          <w:szCs w:val="36"/>
        </w:rPr>
        <w:t xml:space="preserve">        </w:t>
      </w:r>
    </w:p>
    <w:p>
      <w:pPr>
        <w:spacing w:line="360" w:lineRule="auto"/>
        <w:rPr>
          <w:rFonts w:hint="eastAsia" w:ascii="楷体" w:hAnsi="楷体" w:eastAsia="楷体" w:cs="楷体"/>
          <w:b/>
          <w:sz w:val="36"/>
          <w:szCs w:val="36"/>
        </w:rPr>
      </w:pPr>
    </w:p>
    <w:p>
      <w:pPr>
        <w:spacing w:before="156" w:beforeLines="50" w:line="480" w:lineRule="auto"/>
        <w:jc w:val="center"/>
        <w:rPr>
          <w:rFonts w:ascii="微软雅黑" w:hAnsi="微软雅黑" w:eastAsia="微软雅黑" w:cs="微软雅黑"/>
          <w:b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</w:rPr>
        <w:t>会 议 议 程</w:t>
      </w:r>
    </w:p>
    <w:tbl>
      <w:tblPr>
        <w:tblStyle w:val="6"/>
        <w:tblpPr w:leftFromText="180" w:rightFromText="180" w:vertAnchor="text" w:horzAnchor="page" w:tblpXSpec="center" w:tblpY="466"/>
        <w:tblOverlap w:val="never"/>
        <w:tblW w:w="9046" w:type="dxa"/>
        <w:tblInd w:w="0" w:type="dxa"/>
        <w:tblBorders>
          <w:top w:val="single" w:color="auto" w:sz="40" w:space="0"/>
          <w:left w:val="single" w:color="auto" w:sz="40" w:space="0"/>
          <w:bottom w:val="single" w:color="auto" w:sz="40" w:space="0"/>
          <w:right w:val="single" w:color="auto" w:sz="40" w:space="0"/>
          <w:insideH w:val="single" w:color="auto" w:sz="40" w:space="0"/>
          <w:insideV w:val="single" w:color="auto" w:sz="4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0"/>
        <w:gridCol w:w="7116"/>
      </w:tblGrid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9046" w:type="dxa"/>
            <w:gridSpan w:val="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938953" w:themeFill="background2" w:themeFillShade="7F"/>
            <w:vAlign w:val="center"/>
          </w:tcPr>
          <w:p>
            <w:pPr>
              <w:spacing w:line="360" w:lineRule="auto"/>
              <w:ind w:firstLine="964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2019年4月19日  会议议程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8:30-9:00</w:t>
            </w:r>
          </w:p>
        </w:tc>
        <w:tc>
          <w:tcPr>
            <w:tcW w:w="7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spacing w:line="360" w:lineRule="auto"/>
              <w:ind w:firstLine="2311" w:firstLineChars="959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会议签到，领取资料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9:00-9:20</w:t>
            </w:r>
          </w:p>
        </w:tc>
        <w:tc>
          <w:tcPr>
            <w:tcW w:w="7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开幕：上海钢联电子商务股份有限公司</w:t>
            </w:r>
          </w:p>
          <w:p>
            <w:pPr>
              <w:snapToGrid w:val="0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致辞：上海钢联/协办单位/赞助单位    领导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9:20-</w:t>
            </w:r>
            <w:r>
              <w:rPr>
                <w:rFonts w:ascii="楷体" w:hAnsi="楷体" w:eastAsia="楷体" w:cs="楷体"/>
                <w:sz w:val="24"/>
              </w:rPr>
              <w:t>9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ascii="楷体" w:hAnsi="楷体" w:eastAsia="楷体" w:cs="楷体"/>
                <w:sz w:val="24"/>
              </w:rPr>
              <w:t>5</w:t>
            </w:r>
            <w:r>
              <w:rPr>
                <w:rFonts w:hint="eastAsia" w:ascii="楷体" w:hAnsi="楷体" w:eastAsia="楷体" w:cs="楷体"/>
                <w:sz w:val="24"/>
              </w:rPr>
              <w:t>0</w:t>
            </w:r>
          </w:p>
        </w:tc>
        <w:tc>
          <w:tcPr>
            <w:tcW w:w="7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snapToGrid w:val="0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宏观篇：2019年金属与矿产业供需结构展望</w:t>
            </w:r>
          </w:p>
          <w:p>
            <w:pPr>
              <w:snapToGrid w:val="0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 xml:space="preserve">嘉宾：高盛（亚洲）有限责任公司 执行董事 李琦    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ascii="楷体" w:hAnsi="楷体" w:eastAsia="楷体" w:cs="楷体"/>
                <w:sz w:val="24"/>
              </w:rPr>
              <w:t>9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ascii="楷体" w:hAnsi="楷体" w:eastAsia="楷体" w:cs="楷体"/>
                <w:sz w:val="24"/>
              </w:rPr>
              <w:t>50</w:t>
            </w:r>
            <w:r>
              <w:rPr>
                <w:rFonts w:hint="eastAsia" w:ascii="楷体" w:hAnsi="楷体" w:eastAsia="楷体" w:cs="楷体"/>
                <w:sz w:val="24"/>
              </w:rPr>
              <w:t>-</w:t>
            </w:r>
            <w:r>
              <w:rPr>
                <w:rFonts w:ascii="楷体" w:hAnsi="楷体" w:eastAsia="楷体" w:cs="楷体"/>
                <w:sz w:val="24"/>
              </w:rPr>
              <w:t>10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ascii="楷体" w:hAnsi="楷体" w:eastAsia="楷体" w:cs="楷体"/>
                <w:sz w:val="24"/>
              </w:rPr>
              <w:t>30</w:t>
            </w:r>
          </w:p>
        </w:tc>
        <w:tc>
          <w:tcPr>
            <w:tcW w:w="7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snapToGrid w:val="0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sz w:val="24"/>
              </w:rPr>
              <w:t>政策篇：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回收铜原料标准制定思路及进展</w:t>
            </w:r>
          </w:p>
          <w:p>
            <w:pPr>
              <w:snapToGrid w:val="0"/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嘉宾：中国环境科学研究院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ascii="楷体" w:hAnsi="楷体" w:eastAsia="楷体" w:cs="楷体"/>
                <w:sz w:val="24"/>
              </w:rPr>
              <w:t>10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ascii="楷体" w:hAnsi="楷体" w:eastAsia="楷体" w:cs="楷体"/>
                <w:sz w:val="24"/>
              </w:rPr>
              <w:t>30</w:t>
            </w:r>
            <w:r>
              <w:rPr>
                <w:rFonts w:hint="eastAsia" w:ascii="楷体" w:hAnsi="楷体" w:eastAsia="楷体" w:cs="楷体"/>
                <w:sz w:val="24"/>
              </w:rPr>
              <w:t>-</w:t>
            </w:r>
            <w:r>
              <w:rPr>
                <w:rFonts w:ascii="楷体" w:hAnsi="楷体" w:eastAsia="楷体" w:cs="楷体"/>
                <w:sz w:val="24"/>
              </w:rPr>
              <w:t>11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ascii="楷体" w:hAnsi="楷体" w:eastAsia="楷体" w:cs="楷体"/>
                <w:sz w:val="24"/>
              </w:rPr>
              <w:t>20</w:t>
            </w:r>
          </w:p>
        </w:tc>
        <w:tc>
          <w:tcPr>
            <w:tcW w:w="7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产业篇：铜废碎料进口管理新思路</w:t>
            </w:r>
          </w:p>
          <w:p>
            <w:pPr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嘉宾：环境保护部固管中心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4" w:hRule="atLeast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ascii="楷体" w:hAnsi="楷体" w:eastAsia="楷体" w:cs="楷体"/>
                <w:sz w:val="24"/>
              </w:rPr>
              <w:t>1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ascii="楷体" w:hAnsi="楷体" w:eastAsia="楷体" w:cs="楷体"/>
                <w:sz w:val="24"/>
              </w:rPr>
              <w:t>20-12</w:t>
            </w:r>
            <w:r>
              <w:rPr>
                <w:rFonts w:hint="eastAsia" w:ascii="楷体" w:hAnsi="楷体" w:eastAsia="楷体" w:cs="楷体"/>
                <w:sz w:val="24"/>
              </w:rPr>
              <w:t>:0</w:t>
            </w:r>
            <w:r>
              <w:rPr>
                <w:rFonts w:ascii="楷体" w:hAnsi="楷体" w:eastAsia="楷体" w:cs="楷体"/>
                <w:sz w:val="24"/>
              </w:rPr>
              <w:t>0</w:t>
            </w:r>
          </w:p>
        </w:tc>
        <w:tc>
          <w:tcPr>
            <w:tcW w:w="7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EEECE1" w:themeFill="background2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产业篇：探讨产业协同创新、绿色发展之路</w:t>
            </w:r>
          </w:p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嘉宾：中国有色金属工业协会再生金属分会</w:t>
            </w:r>
          </w:p>
        </w:tc>
      </w:tr>
      <w:tr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93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12:00-1</w:t>
            </w:r>
            <w:r>
              <w:rPr>
                <w:rFonts w:ascii="楷体" w:hAnsi="楷体" w:eastAsia="楷体" w:cs="楷体"/>
                <w:sz w:val="24"/>
              </w:rPr>
              <w:t>3</w:t>
            </w:r>
            <w:r>
              <w:rPr>
                <w:rFonts w:hint="eastAsia" w:ascii="楷体" w:hAnsi="楷体" w:eastAsia="楷体" w:cs="楷体"/>
                <w:sz w:val="24"/>
              </w:rPr>
              <w:t>:00</w:t>
            </w:r>
          </w:p>
        </w:tc>
        <w:tc>
          <w:tcPr>
            <w:tcW w:w="71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ind w:firstLine="2650" w:firstLineChars="1100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午餐</w:t>
            </w:r>
          </w:p>
        </w:tc>
      </w:tr>
    </w:tbl>
    <w:tbl>
      <w:tblPr>
        <w:tblStyle w:val="6"/>
        <w:tblpPr w:leftFromText="180" w:rightFromText="180" w:vertAnchor="text" w:horzAnchor="page" w:tblpX="1529" w:tblpY="8"/>
        <w:tblOverlap w:val="never"/>
        <w:tblW w:w="90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7"/>
        <w:gridCol w:w="70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7" w:type="dxa"/>
            <w:tcBorders>
              <w:tl2br w:val="nil"/>
              <w:tr2bl w:val="nil"/>
            </w:tcBorders>
            <w:shd w:val="clear" w:color="auto" w:fill="EEECE1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ascii="楷体" w:hAnsi="楷体" w:eastAsia="楷体" w:cs="楷体"/>
                <w:sz w:val="24"/>
              </w:rPr>
              <w:t>3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ascii="楷体" w:hAnsi="楷体" w:eastAsia="楷体" w:cs="楷体"/>
                <w:sz w:val="24"/>
              </w:rPr>
              <w:t>3</w:t>
            </w:r>
            <w:r>
              <w:rPr>
                <w:rFonts w:hint="eastAsia" w:ascii="楷体" w:hAnsi="楷体" w:eastAsia="楷体" w:cs="楷体"/>
                <w:sz w:val="24"/>
              </w:rPr>
              <w:t>0-1</w:t>
            </w:r>
            <w:r>
              <w:rPr>
                <w:rFonts w:ascii="楷体" w:hAnsi="楷体" w:eastAsia="楷体" w:cs="楷体"/>
                <w:sz w:val="24"/>
              </w:rPr>
              <w:t>4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ascii="楷体" w:hAnsi="楷体" w:eastAsia="楷体" w:cs="楷体"/>
                <w:sz w:val="24"/>
              </w:rPr>
              <w:t>00</w:t>
            </w:r>
          </w:p>
        </w:tc>
        <w:tc>
          <w:tcPr>
            <w:tcW w:w="7097" w:type="dxa"/>
            <w:tcBorders>
              <w:tl2br w:val="nil"/>
              <w:tr2bl w:val="nil"/>
            </w:tcBorders>
            <w:shd w:val="clear" w:color="auto" w:fill="EEECE1" w:themeFill="background2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产业篇：“一带一路”园区建设经验分享</w:t>
            </w:r>
          </w:p>
          <w:p>
            <w:pPr>
              <w:jc w:val="left"/>
              <w:rPr>
                <w:rFonts w:ascii="楷体" w:hAnsi="楷体" w:eastAsia="楷体" w:cs="楷体"/>
                <w:b/>
                <w:bCs/>
                <w:kern w:val="0"/>
                <w:sz w:val="24"/>
                <w:lang w:bidi="ar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嘉宾：中国有色金属工业协会再生金属分会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14:30-15:00</w:t>
            </w:r>
          </w:p>
        </w:tc>
        <w:tc>
          <w:tcPr>
            <w:tcW w:w="70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政策篇：进口新政下原料保障应对措施</w:t>
            </w:r>
          </w:p>
          <w:p>
            <w:pPr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嘉宾：五矿研究院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7" w:type="dxa"/>
            <w:tcBorders>
              <w:tl2br w:val="nil"/>
              <w:tr2bl w:val="nil"/>
            </w:tcBorders>
            <w:shd w:val="clear" w:color="auto" w:fill="EEECE1" w:themeFill="background2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15:30-16:00</w:t>
            </w:r>
          </w:p>
        </w:tc>
        <w:tc>
          <w:tcPr>
            <w:tcW w:w="7097" w:type="dxa"/>
            <w:tcBorders>
              <w:tl2br w:val="nil"/>
              <w:tr2bl w:val="nil"/>
            </w:tcBorders>
            <w:shd w:val="clear" w:color="auto" w:fill="EEECE1" w:themeFill="background2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产业篇: 再生金属园区转型升级探索</w:t>
            </w:r>
          </w:p>
          <w:p>
            <w:pPr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嘉宾：鹰潭市再生园区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16:00-16:30</w:t>
            </w:r>
          </w:p>
        </w:tc>
        <w:tc>
          <w:tcPr>
            <w:tcW w:w="70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金融篇: 中国铜期权发展趋势</w:t>
            </w:r>
          </w:p>
          <w:p>
            <w:pPr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嘉宾：上海期货交易所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</w:trPr>
        <w:tc>
          <w:tcPr>
            <w:tcW w:w="195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</w:t>
            </w:r>
            <w:r>
              <w:rPr>
                <w:rFonts w:ascii="楷体" w:hAnsi="楷体" w:eastAsia="楷体" w:cs="楷体"/>
                <w:sz w:val="24"/>
              </w:rPr>
              <w:t>6</w:t>
            </w:r>
            <w:r>
              <w:rPr>
                <w:rFonts w:hint="eastAsia" w:ascii="楷体" w:hAnsi="楷体" w:eastAsia="楷体" w:cs="楷体"/>
                <w:sz w:val="24"/>
              </w:rPr>
              <w:t>:</w:t>
            </w:r>
            <w:r>
              <w:rPr>
                <w:rFonts w:ascii="楷体" w:hAnsi="楷体" w:eastAsia="楷体" w:cs="楷体"/>
                <w:sz w:val="24"/>
              </w:rPr>
              <w:t>30-17</w:t>
            </w:r>
            <w:r>
              <w:rPr>
                <w:rFonts w:hint="eastAsia" w:ascii="楷体" w:hAnsi="楷体" w:eastAsia="楷体" w:cs="楷体"/>
                <w:sz w:val="24"/>
              </w:rPr>
              <w:t>:0</w:t>
            </w:r>
            <w:r>
              <w:rPr>
                <w:rFonts w:ascii="楷体" w:hAnsi="楷体" w:eastAsia="楷体" w:cs="楷体"/>
                <w:sz w:val="24"/>
              </w:rPr>
              <w:t>0</w:t>
            </w:r>
          </w:p>
        </w:tc>
        <w:tc>
          <w:tcPr>
            <w:tcW w:w="709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jc w:val="left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产业篇：2</w:t>
            </w:r>
            <w:r>
              <w:rPr>
                <w:rFonts w:ascii="楷体" w:hAnsi="楷体" w:eastAsia="楷体" w:cs="楷体"/>
                <w:b/>
                <w:bCs/>
                <w:sz w:val="24"/>
              </w:rPr>
              <w:t>019</w:t>
            </w: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年中国铜金属市场展望</w:t>
            </w:r>
          </w:p>
          <w:p>
            <w:pPr>
              <w:jc w:val="left"/>
              <w:rPr>
                <w:rFonts w:hint="eastAsia"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嘉宾：上海钢联电子商务股份有限公司 高级分析师 王宇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9054" w:type="dxa"/>
            <w:gridSpan w:val="2"/>
            <w:tcBorders>
              <w:tl2br w:val="nil"/>
              <w:tr2bl w:val="nil"/>
            </w:tcBorders>
            <w:shd w:val="clear" w:color="auto" w:fill="938953" w:themeFill="background2" w:themeFillShade="7F"/>
            <w:vAlign w:val="center"/>
          </w:tcPr>
          <w:p>
            <w:pPr>
              <w:spacing w:line="360" w:lineRule="auto"/>
              <w:ind w:firstLine="964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4"/>
              </w:rPr>
              <w:t>2019年4月20日  企业调研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1" w:hRule="atLeast"/>
        </w:trPr>
        <w:tc>
          <w:tcPr>
            <w:tcW w:w="9054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1.葛洲坝展慈（宁波）金属工业有限公司       再生金属</w:t>
            </w:r>
          </w:p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2.博威合金材料股份有限公司                    铜材</w:t>
            </w:r>
          </w:p>
          <w:p>
            <w:pPr>
              <w:spacing w:line="360" w:lineRule="auto"/>
              <w:jc w:val="left"/>
              <w:rPr>
                <w:rFonts w:ascii="楷体" w:hAnsi="楷体" w:eastAsia="楷体" w:cs="楷体"/>
                <w:sz w:val="24"/>
              </w:rPr>
            </w:pPr>
            <w:r>
              <w:rPr>
                <w:rFonts w:ascii="楷体" w:hAnsi="楷体" w:eastAsia="楷体" w:cs="楷体"/>
                <w:sz w:val="24"/>
              </w:rPr>
              <w:t>3.</w:t>
            </w:r>
            <w:r>
              <w:rPr>
                <w:rFonts w:hint="eastAsia" w:ascii="楷体" w:hAnsi="楷体" w:eastAsia="楷体" w:cs="楷体"/>
                <w:sz w:val="24"/>
              </w:rPr>
              <w:t>宁波</w:t>
            </w:r>
            <w:r>
              <w:rPr>
                <w:rFonts w:hint="eastAsia" w:ascii="楷体" w:hAnsi="楷体" w:eastAsia="楷体" w:cs="楷体"/>
                <w:sz w:val="24"/>
                <w:lang w:eastAsia="zh-CN"/>
              </w:rPr>
              <w:t>兴业盛泰有限公司</w:t>
            </w:r>
            <w:r>
              <w:rPr>
                <w:rFonts w:ascii="楷体" w:hAnsi="楷体" w:eastAsia="楷体" w:cs="楷体"/>
                <w:sz w:val="24"/>
              </w:rPr>
              <w:t xml:space="preserve">        </w:t>
            </w:r>
            <w:r>
              <w:rPr>
                <w:rFonts w:hint="eastAsia" w:ascii="楷体" w:hAnsi="楷体" w:eastAsia="楷体" w:cs="楷体"/>
                <w:sz w:val="24"/>
                <w:lang w:val="en-US" w:eastAsia="zh-CN"/>
              </w:rPr>
              <w:t xml:space="preserve">           </w:t>
            </w:r>
            <w:r>
              <w:rPr>
                <w:rFonts w:hint="eastAsia" w:ascii="楷体" w:hAnsi="楷体" w:eastAsia="楷体" w:cs="楷体"/>
                <w:sz w:val="24"/>
              </w:rPr>
              <w:t>铜材及再生金属</w:t>
            </w:r>
          </w:p>
        </w:tc>
      </w:tr>
    </w:tbl>
    <w:p>
      <w:pPr>
        <w:spacing w:line="360" w:lineRule="auto"/>
        <w:jc w:val="left"/>
        <w:rPr>
          <w:rFonts w:ascii="楷体" w:hAnsi="楷体" w:eastAsia="楷体" w:cs="楷体"/>
          <w:b/>
          <w:sz w:val="24"/>
        </w:rPr>
      </w:pPr>
      <w:bookmarkStart w:id="0" w:name="_GoBack"/>
    </w:p>
    <w:bookmarkEnd w:id="0"/>
    <w:p>
      <w:pPr>
        <w:ind w:right="-687" w:rightChars="-327"/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楷体" w:hAnsi="楷体" w:eastAsia="楷体" w:cs="楷体"/>
          <w:bCs/>
          <w:szCs w:val="21"/>
        </w:rPr>
        <w:t>（以上为拟定发言人及演讲主题。以最终议程/行程为准。）</w:t>
      </w:r>
    </w:p>
    <w:p>
      <w:pPr>
        <w:spacing w:before="156" w:beforeLines="50" w:line="360" w:lineRule="auto"/>
        <w:jc w:val="center"/>
        <w:rPr>
          <w:rFonts w:ascii="微软雅黑" w:hAnsi="微软雅黑" w:eastAsia="微软雅黑" w:cs="微软雅黑"/>
          <w:b/>
          <w:bCs/>
          <w:sz w:val="36"/>
          <w:szCs w:val="36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</w:rPr>
        <w:t>参 会 回 执 表</w:t>
      </w:r>
    </w:p>
    <w:tbl>
      <w:tblPr>
        <w:tblStyle w:val="6"/>
        <w:tblpPr w:leftFromText="180" w:rightFromText="180" w:vertAnchor="text" w:horzAnchor="page" w:tblpXSpec="center" w:tblpY="308"/>
        <w:tblOverlap w:val="never"/>
        <w:tblW w:w="9008" w:type="dxa"/>
        <w:jc w:val="center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7"/>
        <w:gridCol w:w="1714"/>
        <w:gridCol w:w="636"/>
        <w:gridCol w:w="1143"/>
        <w:gridCol w:w="1634"/>
        <w:gridCol w:w="2084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单位名称</w:t>
            </w:r>
          </w:p>
        </w:tc>
        <w:tc>
          <w:tcPr>
            <w:tcW w:w="7211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9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4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单位地址</w:t>
            </w:r>
          </w:p>
        </w:tc>
        <w:tc>
          <w:tcPr>
            <w:tcW w:w="7211" w:type="dxa"/>
            <w:gridSpan w:val="5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姓名</w:t>
            </w:r>
          </w:p>
        </w:tc>
        <w:tc>
          <w:tcPr>
            <w:tcW w:w="171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职务</w:t>
            </w:r>
          </w:p>
        </w:tc>
        <w:tc>
          <w:tcPr>
            <w:tcW w:w="177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电话</w:t>
            </w:r>
          </w:p>
        </w:tc>
        <w:tc>
          <w:tcPr>
            <w:tcW w:w="163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手机</w:t>
            </w:r>
          </w:p>
        </w:tc>
        <w:tc>
          <w:tcPr>
            <w:tcW w:w="208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E-mail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63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08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779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163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  <w:tc>
          <w:tcPr>
            <w:tcW w:w="2084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sz w:val="24"/>
              </w:rPr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企业类型</w:t>
            </w:r>
          </w:p>
        </w:tc>
        <w:tc>
          <w:tcPr>
            <w:tcW w:w="7211" w:type="dxa"/>
            <w:gridSpan w:val="5"/>
          </w:tcPr>
          <w:p>
            <w:pPr>
              <w:spacing w:line="36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□矿山  □冶炼厂 □贸易公司   □加工企业   □金融投资公司  □其他  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4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酒店住宿</w:t>
            </w:r>
          </w:p>
        </w:tc>
        <w:tc>
          <w:tcPr>
            <w:tcW w:w="7211" w:type="dxa"/>
            <w:gridSpan w:val="5"/>
          </w:tcPr>
          <w:p>
            <w:pPr>
              <w:spacing w:line="520" w:lineRule="exact"/>
              <w:jc w:val="lef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 xml:space="preserve">宁波南苑饭店 </w:t>
            </w:r>
          </w:p>
          <w:p>
            <w:pPr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□单床房400元/间（含单早）共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szCs w:val="21"/>
              </w:rPr>
              <w:t>间  入住时间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</w:t>
            </w:r>
            <w:r>
              <w:rPr>
                <w:rFonts w:hint="eastAsia" w:ascii="楷体" w:hAnsi="楷体" w:eastAsia="楷体" w:cs="楷体"/>
                <w:szCs w:val="21"/>
              </w:rPr>
              <w:t>至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  </w:t>
            </w:r>
          </w:p>
          <w:p>
            <w:pPr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  <w:u w:val="single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□双床房450元/间（含双早）共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</w:t>
            </w:r>
            <w:r>
              <w:rPr>
                <w:rFonts w:hint="eastAsia" w:ascii="楷体" w:hAnsi="楷体" w:eastAsia="楷体" w:cs="楷体"/>
                <w:szCs w:val="21"/>
              </w:rPr>
              <w:t>间  入住时间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</w:t>
            </w:r>
            <w:r>
              <w:rPr>
                <w:rFonts w:hint="eastAsia" w:ascii="楷体" w:hAnsi="楷体" w:eastAsia="楷体" w:cs="楷体"/>
                <w:szCs w:val="21"/>
              </w:rPr>
              <w:t>至</w:t>
            </w:r>
            <w:r>
              <w:rPr>
                <w:rFonts w:hint="eastAsia" w:ascii="楷体" w:hAnsi="楷体" w:eastAsia="楷体" w:cs="楷体"/>
                <w:szCs w:val="21"/>
                <w:u w:val="single"/>
              </w:rPr>
              <w:t xml:space="preserve">          </w:t>
            </w:r>
          </w:p>
          <w:p>
            <w:pPr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  <w:u w:val="single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请需要会务组预订住宿的参会代表务必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仔细填写</w:t>
            </w:r>
            <w:r>
              <w:rPr>
                <w:rFonts w:hint="eastAsia" w:ascii="楷体" w:hAnsi="楷体" w:eastAsia="楷体" w:cs="楷体"/>
                <w:szCs w:val="21"/>
              </w:rPr>
              <w:t>，并于</w:t>
            </w:r>
            <w:r>
              <w:rPr>
                <w:rFonts w:ascii="楷体" w:hAnsi="楷体" w:eastAsia="楷体" w:cs="楷体"/>
                <w:b/>
                <w:bCs/>
                <w:szCs w:val="21"/>
              </w:rPr>
              <w:t>4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月15日前回传</w:t>
            </w:r>
            <w:r>
              <w:rPr>
                <w:rFonts w:hint="eastAsia" w:ascii="楷体" w:hAnsi="楷体" w:eastAsia="楷体" w:cs="楷体"/>
                <w:szCs w:val="21"/>
              </w:rPr>
              <w:t>至会务组（</w:t>
            </w:r>
            <w:r>
              <w:rPr>
                <w:rFonts w:hint="eastAsia" w:ascii="楷体" w:hAnsi="楷体" w:eastAsia="楷体" w:cs="楷体"/>
                <w:b/>
                <w:bCs/>
                <w:szCs w:val="21"/>
              </w:rPr>
              <w:t>住宿费自理</w:t>
            </w:r>
            <w:r>
              <w:rPr>
                <w:rFonts w:hint="eastAsia" w:ascii="楷体" w:hAnsi="楷体" w:eastAsia="楷体" w:cs="楷体"/>
                <w:szCs w:val="21"/>
              </w:rPr>
              <w:t>）。无住宿要求此栏空白。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79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参会费用</w:t>
            </w:r>
          </w:p>
        </w:tc>
        <w:tc>
          <w:tcPr>
            <w:tcW w:w="2350" w:type="dxa"/>
            <w:gridSpan w:val="2"/>
          </w:tcPr>
          <w:p>
            <w:pPr>
              <w:widowControl/>
              <w:spacing w:before="312" w:beforeLines="100" w:line="360" w:lineRule="auto"/>
              <w:ind w:left="-105" w:leftChars="-50" w:right="-210" w:rightChars="-100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参会费</w:t>
            </w:r>
          </w:p>
        </w:tc>
        <w:tc>
          <w:tcPr>
            <w:tcW w:w="4861" w:type="dxa"/>
            <w:gridSpan w:val="3"/>
          </w:tcPr>
          <w:p>
            <w:pPr>
              <w:widowControl/>
              <w:spacing w:before="156" w:beforeLines="50"/>
              <w:ind w:right="-210" w:rightChars="-100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4</w:t>
            </w:r>
            <w:r>
              <w:rPr>
                <w:rFonts w:hint="eastAsia" w:ascii="楷体" w:hAnsi="楷体" w:eastAsia="楷体" w:cs="楷体"/>
                <w:szCs w:val="21"/>
              </w:rPr>
              <w:t>月1</w:t>
            </w:r>
            <w:r>
              <w:rPr>
                <w:rFonts w:ascii="楷体" w:hAnsi="楷体" w:eastAsia="楷体" w:cs="楷体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Cs w:val="21"/>
              </w:rPr>
              <w:t>日前付款：人民币1500元/人</w:t>
            </w:r>
          </w:p>
          <w:p>
            <w:pPr>
              <w:widowControl/>
              <w:spacing w:before="156" w:beforeLines="50"/>
              <w:ind w:right="-210" w:rightChars="-100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4</w:t>
            </w:r>
            <w:r>
              <w:rPr>
                <w:rFonts w:hint="eastAsia" w:ascii="楷体" w:hAnsi="楷体" w:eastAsia="楷体" w:cs="楷体"/>
                <w:szCs w:val="21"/>
              </w:rPr>
              <w:t>月1</w:t>
            </w:r>
            <w:r>
              <w:rPr>
                <w:rFonts w:ascii="楷体" w:hAnsi="楷体" w:eastAsia="楷体" w:cs="楷体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Cs w:val="21"/>
              </w:rPr>
              <w:t>日后付款：人民币2000元/人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</w:p>
        </w:tc>
        <w:tc>
          <w:tcPr>
            <w:tcW w:w="7211" w:type="dxa"/>
            <w:gridSpan w:val="5"/>
          </w:tcPr>
          <w:p>
            <w:pPr>
              <w:widowControl/>
              <w:adjustRightInd w:val="0"/>
              <w:snapToGrid w:val="0"/>
              <w:jc w:val="left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（此费用包含参会费、资料费、茶歇、午餐，不含住宿费）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8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</w:p>
        </w:tc>
        <w:tc>
          <w:tcPr>
            <w:tcW w:w="2350" w:type="dxa"/>
            <w:gridSpan w:val="2"/>
          </w:tcPr>
          <w:p>
            <w:pPr>
              <w:widowControl/>
              <w:adjustRightInd w:val="0"/>
              <w:snapToGrid w:val="0"/>
              <w:spacing w:before="312" w:beforeLines="100" w:line="360" w:lineRule="auto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参会+调研费用</w:t>
            </w:r>
          </w:p>
        </w:tc>
        <w:tc>
          <w:tcPr>
            <w:tcW w:w="4861" w:type="dxa"/>
            <w:gridSpan w:val="3"/>
          </w:tcPr>
          <w:p>
            <w:pPr>
              <w:widowControl/>
              <w:adjustRightInd w:val="0"/>
              <w:snapToGrid w:val="0"/>
              <w:spacing w:before="156" w:beforeLines="50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4</w:t>
            </w:r>
            <w:r>
              <w:rPr>
                <w:rFonts w:hint="eastAsia" w:ascii="楷体" w:hAnsi="楷体" w:eastAsia="楷体" w:cs="楷体"/>
                <w:szCs w:val="21"/>
              </w:rPr>
              <w:t>月</w:t>
            </w:r>
            <w:r>
              <w:rPr>
                <w:rFonts w:ascii="楷体" w:hAnsi="楷体" w:eastAsia="楷体" w:cs="楷体"/>
                <w:szCs w:val="21"/>
              </w:rPr>
              <w:t>10</w:t>
            </w:r>
            <w:r>
              <w:rPr>
                <w:rFonts w:hint="eastAsia" w:ascii="楷体" w:hAnsi="楷体" w:eastAsia="楷体" w:cs="楷体"/>
                <w:szCs w:val="21"/>
              </w:rPr>
              <w:t>日前付款：人民币3000元/人</w:t>
            </w:r>
          </w:p>
          <w:p>
            <w:pPr>
              <w:widowControl/>
              <w:adjustRightInd w:val="0"/>
              <w:snapToGrid w:val="0"/>
              <w:spacing w:before="156" w:beforeLines="50"/>
              <w:jc w:val="center"/>
              <w:rPr>
                <w:rFonts w:ascii="楷体" w:hAnsi="楷体" w:eastAsia="楷体" w:cs="楷体"/>
                <w:szCs w:val="21"/>
              </w:rPr>
            </w:pPr>
            <w:r>
              <w:rPr>
                <w:rFonts w:ascii="楷体" w:hAnsi="楷体" w:eastAsia="楷体" w:cs="楷体"/>
                <w:szCs w:val="21"/>
              </w:rPr>
              <w:t>4</w:t>
            </w:r>
            <w:r>
              <w:rPr>
                <w:rFonts w:hint="eastAsia" w:ascii="楷体" w:hAnsi="楷体" w:eastAsia="楷体" w:cs="楷体"/>
                <w:szCs w:val="21"/>
              </w:rPr>
              <w:t>月</w:t>
            </w:r>
            <w:r>
              <w:rPr>
                <w:rFonts w:ascii="楷体" w:hAnsi="楷体" w:eastAsia="楷体" w:cs="楷体"/>
                <w:szCs w:val="21"/>
              </w:rPr>
              <w:t>10</w:t>
            </w:r>
            <w:r>
              <w:rPr>
                <w:rFonts w:hint="eastAsia" w:ascii="楷体" w:hAnsi="楷体" w:eastAsia="楷体" w:cs="楷体"/>
                <w:szCs w:val="21"/>
              </w:rPr>
              <w:t>日后付款：人民币3500元/人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widowControl/>
              <w:adjustRightInd w:val="0"/>
              <w:snapToGrid w:val="0"/>
              <w:spacing w:before="46" w:beforeLines="15"/>
              <w:rPr>
                <w:rFonts w:ascii="楷体" w:hAnsi="楷体" w:eastAsia="楷体" w:cs="楷体"/>
              </w:rPr>
            </w:pPr>
          </w:p>
        </w:tc>
        <w:tc>
          <w:tcPr>
            <w:tcW w:w="7211" w:type="dxa"/>
            <w:gridSpan w:val="5"/>
          </w:tcPr>
          <w:p>
            <w:pPr>
              <w:widowControl/>
              <w:adjustRightInd w:val="0"/>
              <w:snapToGrid w:val="0"/>
              <w:spacing w:before="46" w:beforeLines="15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（此费用包含参会费、资料费、茶歇、午餐、调研费，不含住宿费）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汇款方式</w:t>
            </w:r>
          </w:p>
        </w:tc>
        <w:tc>
          <w:tcPr>
            <w:tcW w:w="7211" w:type="dxa"/>
            <w:gridSpan w:val="5"/>
          </w:tcPr>
          <w:p>
            <w:pPr>
              <w:spacing w:line="36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□贷记   □电汇    □支票    □现金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  <w:jc w:val="center"/>
        </w:trPr>
        <w:tc>
          <w:tcPr>
            <w:tcW w:w="179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汇款帐号</w:t>
            </w:r>
          </w:p>
        </w:tc>
        <w:tc>
          <w:tcPr>
            <w:tcW w:w="7211" w:type="dxa"/>
            <w:gridSpan w:val="5"/>
          </w:tcPr>
          <w:p>
            <w:pPr>
              <w:autoSpaceDE w:val="0"/>
              <w:autoSpaceDN w:val="0"/>
              <w:adjustRightInd w:val="0"/>
              <w:spacing w:line="360" w:lineRule="auto"/>
              <w:rPr>
                <w:rFonts w:ascii="楷体" w:hAnsi="楷体" w:eastAsia="楷体" w:cs="楷体"/>
                <w:color w:val="000000"/>
                <w:sz w:val="22"/>
              </w:rPr>
            </w:pP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开户行: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中国建设银行股份有限公司上海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>宝钢宝山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支行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                               </w:t>
            </w:r>
          </w:p>
          <w:p>
            <w:pPr>
              <w:autoSpaceDE w:val="0"/>
              <w:autoSpaceDN w:val="0"/>
              <w:adjustRightInd w:val="0"/>
              <w:spacing w:line="360" w:lineRule="auto"/>
              <w:rPr>
                <w:rFonts w:ascii="楷体" w:hAnsi="楷体" w:eastAsia="楷体" w:cs="楷体"/>
                <w:color w:val="000000"/>
                <w:sz w:val="22"/>
              </w:rPr>
            </w:pP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户  名: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上海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>钢联电子商务股份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有限公司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                </w:t>
            </w:r>
          </w:p>
          <w:p>
            <w:pPr>
              <w:spacing w:line="36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帐  号: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3100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1913 1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000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5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>25</w:t>
            </w:r>
            <w:r>
              <w:rPr>
                <w:rFonts w:hint="eastAsia" w:ascii="楷体" w:hAnsi="楷体" w:eastAsia="楷体" w:cs="楷体"/>
                <w:color w:val="000000"/>
                <w:sz w:val="22"/>
                <w:lang w:val="zh-CN"/>
              </w:rPr>
              <w:t>0</w:t>
            </w:r>
            <w:r>
              <w:rPr>
                <w:rFonts w:hint="eastAsia" w:ascii="楷体" w:hAnsi="楷体" w:eastAsia="楷体" w:cs="楷体"/>
                <w:color w:val="000000"/>
                <w:sz w:val="22"/>
              </w:rPr>
              <w:t xml:space="preserve"> 1232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6" w:hRule="atLeast"/>
          <w:jc w:val="center"/>
        </w:trPr>
        <w:tc>
          <w:tcPr>
            <w:tcW w:w="179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</w:p>
        </w:tc>
        <w:tc>
          <w:tcPr>
            <w:tcW w:w="7211" w:type="dxa"/>
            <w:gridSpan w:val="5"/>
          </w:tcPr>
          <w:p>
            <w:pPr>
              <w:spacing w:line="360" w:lineRule="auto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szCs w:val="21"/>
              </w:rPr>
              <w:t>为保证您参会的顺利报到，汇款时请注明“</w:t>
            </w:r>
            <w:r>
              <w:rPr>
                <w:rFonts w:hint="eastAsia" w:ascii="楷体" w:hAnsi="楷体" w:eastAsia="楷体"/>
                <w:b/>
                <w:bCs/>
                <w:color w:val="000000"/>
              </w:rPr>
              <w:t>2019年中国再生铜产业链高峰论坛</w:t>
            </w:r>
            <w:r>
              <w:rPr>
                <w:rFonts w:hint="eastAsia" w:ascii="楷体" w:hAnsi="楷体" w:eastAsia="楷体" w:cs="楷体"/>
                <w:szCs w:val="21"/>
              </w:rPr>
              <w:t>”字样，写明参会单位名称，并将“参会回执表”于2019年</w:t>
            </w:r>
            <w:r>
              <w:rPr>
                <w:rFonts w:ascii="楷体" w:hAnsi="楷体" w:eastAsia="楷体" w:cs="楷体"/>
                <w:szCs w:val="21"/>
              </w:rPr>
              <w:t>4</w:t>
            </w:r>
            <w:r>
              <w:rPr>
                <w:rFonts w:hint="eastAsia" w:ascii="楷体" w:hAnsi="楷体" w:eastAsia="楷体" w:cs="楷体"/>
                <w:szCs w:val="21"/>
              </w:rPr>
              <w:t>月1</w:t>
            </w:r>
            <w:r>
              <w:rPr>
                <w:rFonts w:ascii="楷体" w:hAnsi="楷体" w:eastAsia="楷体" w:cs="楷体"/>
                <w:szCs w:val="21"/>
              </w:rPr>
              <w:t>0</w:t>
            </w:r>
            <w:r>
              <w:rPr>
                <w:rFonts w:hint="eastAsia" w:ascii="楷体" w:hAnsi="楷体" w:eastAsia="楷体" w:cs="楷体"/>
                <w:szCs w:val="21"/>
              </w:rPr>
              <w:t xml:space="preserve">日前发送至会务组。 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4" w:hRule="atLeast"/>
          <w:jc w:val="center"/>
        </w:trPr>
        <w:tc>
          <w:tcPr>
            <w:tcW w:w="1797" w:type="dxa"/>
            <w:vAlign w:val="center"/>
          </w:tcPr>
          <w:p>
            <w:pPr>
              <w:spacing w:line="360" w:lineRule="auto"/>
              <w:ind w:firstLine="0" w:firstLineChars="0"/>
              <w:jc w:val="center"/>
              <w:rPr>
                <w:rFonts w:ascii="楷体" w:hAnsi="楷体" w:eastAsia="楷体" w:cs="楷体"/>
                <w:b/>
                <w:bCs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sz w:val="28"/>
                <w:szCs w:val="28"/>
              </w:rPr>
              <w:t>会 务 组</w:t>
            </w:r>
          </w:p>
        </w:tc>
        <w:tc>
          <w:tcPr>
            <w:tcW w:w="7211" w:type="dxa"/>
            <w:gridSpan w:val="5"/>
            <w:vAlign w:val="center"/>
          </w:tcPr>
          <w:p>
            <w:pPr>
              <w:spacing w:line="360" w:lineRule="auto"/>
              <w:ind w:firstLine="0" w:firstLineChars="0"/>
              <w:rPr>
                <w:rFonts w:ascii="楷体" w:hAnsi="楷体" w:eastAsia="楷体" w:cs="楷体"/>
                <w:szCs w:val="21"/>
              </w:rPr>
            </w:pPr>
            <w:r>
              <w:rPr>
                <w:rFonts w:hint="eastAsia" w:ascii="楷体" w:hAnsi="楷体" w:eastAsia="楷体" w:cs="楷体"/>
                <w:bCs/>
                <w:sz w:val="24"/>
                <w:szCs w:val="24"/>
                <w:lang w:val="en-US" w:eastAsia="zh-CN"/>
              </w:rPr>
              <w:t>卢海丹 021-26093414  18170888431   luhd@mysteel.com</w:t>
            </w:r>
          </w:p>
        </w:tc>
      </w:tr>
    </w:tbl>
    <w:p/>
    <w:p>
      <w:pPr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路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线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规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  <w:t>划</w:t>
      </w:r>
    </w:p>
    <w:p>
      <w:pPr>
        <w:spacing w:line="360" w:lineRule="auto"/>
        <w:ind w:firstLine="0" w:firstLineChars="0"/>
        <w:jc w:val="center"/>
        <w:rPr>
          <w:rFonts w:hint="eastAsia" w:ascii="微软雅黑" w:hAnsi="微软雅黑" w:eastAsia="微软雅黑" w:cs="微软雅黑"/>
          <w:b/>
          <w:bCs/>
          <w:sz w:val="36"/>
          <w:szCs w:val="36"/>
          <w:lang w:eastAsia="zh-CN"/>
        </w:rPr>
      </w:pPr>
    </w:p>
    <w:p>
      <w:pPr>
        <w:spacing w:line="360" w:lineRule="auto"/>
        <w:ind w:firstLine="0" w:firstLineChars="0"/>
        <w:jc w:val="center"/>
      </w:pPr>
      <w:r>
        <w:drawing>
          <wp:inline distT="0" distB="0" distL="114300" distR="114300">
            <wp:extent cx="5254625" cy="3517265"/>
            <wp:effectExtent l="0" t="0" r="3175" b="698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0" w:firstLineChars="0"/>
        <w:jc w:val="center"/>
      </w:pPr>
    </w:p>
    <w:p>
      <w:pPr>
        <w:numPr>
          <w:ilvl w:val="0"/>
          <w:numId w:val="1"/>
        </w:numPr>
        <w:spacing w:line="360" w:lineRule="auto"/>
        <w:ind w:firstLine="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宁波站至宁波南苑饭店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TAXI：路程约15分钟，费用约15元。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公共交通：乘坐5路/106路/356路/369路/512路至三市立交桥站，步行166米到达宁波南苑饭店。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宁波栎社机场至南苑饭店</w:t>
      </w:r>
    </w:p>
    <w:p>
      <w:pPr>
        <w:numPr>
          <w:ilvl w:val="0"/>
          <w:numId w:val="3"/>
        </w:numPr>
        <w:spacing w:line="360" w:lineRule="auto"/>
        <w:ind w:leftChars="0"/>
        <w:jc w:val="left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TAXI：路程约21分钟，费用约40元</w:t>
      </w:r>
    </w:p>
    <w:p>
      <w:pPr>
        <w:numPr>
          <w:ilvl w:val="0"/>
          <w:numId w:val="3"/>
        </w:numPr>
        <w:spacing w:line="360" w:lineRule="auto"/>
        <w:ind w:leftChars="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公共交通：乘坐地铁二号线至宁波站，从宁波站乘坐5路/106路/356路/369路/512路至三市立交桥站，步行166米到达终点。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right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NJWO7QAAAABQEAAA8AAAAAAAAAAQAg&#10;AAAAIgAAAGRycy9kb3ducmV2LnhtbFBLAQIUABQAAAAIAIdO4kB4wunRFgIAABUEAAAOAAAAAAAA&#10;AAEAIAAAAB8BAABkcnMvZTJvRG9jLnhtbFBLBQYAAAAABgAGAFkBAACn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  <w:r>
      <w:rPr>
        <w:rFonts w:hint="eastAsia"/>
      </w:rPr>
      <w:drawing>
        <wp:inline distT="0" distB="0" distL="114300" distR="114300">
          <wp:extent cx="5259705" cy="5201920"/>
          <wp:effectExtent l="0" t="0" r="17145" b="0"/>
          <wp:docPr id="5" name="图片 2" descr="页眉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2" descr="页眉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9705" cy="520192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6334B43"/>
    <w:multiLevelType w:val="singleLevel"/>
    <w:tmpl w:val="B6334B43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1">
    <w:nsid w:val="E66F6A10"/>
    <w:multiLevelType w:val="singleLevel"/>
    <w:tmpl w:val="E66F6A10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5787BB8C"/>
    <w:multiLevelType w:val="singleLevel"/>
    <w:tmpl w:val="5787BB8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1D056E"/>
    <w:rsid w:val="002259D9"/>
    <w:rsid w:val="003603B1"/>
    <w:rsid w:val="0055234E"/>
    <w:rsid w:val="005D121E"/>
    <w:rsid w:val="007F5C95"/>
    <w:rsid w:val="009E6428"/>
    <w:rsid w:val="00B838E7"/>
    <w:rsid w:val="012B1603"/>
    <w:rsid w:val="01587BBF"/>
    <w:rsid w:val="01A418D8"/>
    <w:rsid w:val="01B779CD"/>
    <w:rsid w:val="0270143D"/>
    <w:rsid w:val="02A13D78"/>
    <w:rsid w:val="02EB55D6"/>
    <w:rsid w:val="02FE2CC2"/>
    <w:rsid w:val="047E3CC6"/>
    <w:rsid w:val="04F2776B"/>
    <w:rsid w:val="05D26350"/>
    <w:rsid w:val="06AF7C58"/>
    <w:rsid w:val="06B37256"/>
    <w:rsid w:val="06C92B65"/>
    <w:rsid w:val="06DB7401"/>
    <w:rsid w:val="06EF5177"/>
    <w:rsid w:val="06F73931"/>
    <w:rsid w:val="07BE115D"/>
    <w:rsid w:val="07C6645A"/>
    <w:rsid w:val="07CD62EC"/>
    <w:rsid w:val="0823232F"/>
    <w:rsid w:val="08382F03"/>
    <w:rsid w:val="08CD2F33"/>
    <w:rsid w:val="094F13C3"/>
    <w:rsid w:val="0A4347E9"/>
    <w:rsid w:val="0A4D789B"/>
    <w:rsid w:val="0A724D82"/>
    <w:rsid w:val="0D3E0D6E"/>
    <w:rsid w:val="10FF6CCE"/>
    <w:rsid w:val="125552AB"/>
    <w:rsid w:val="1258115B"/>
    <w:rsid w:val="126F24F3"/>
    <w:rsid w:val="12913F0D"/>
    <w:rsid w:val="144420D6"/>
    <w:rsid w:val="14467D96"/>
    <w:rsid w:val="15E27B01"/>
    <w:rsid w:val="15FB70E4"/>
    <w:rsid w:val="16461596"/>
    <w:rsid w:val="174E69A0"/>
    <w:rsid w:val="17E51163"/>
    <w:rsid w:val="185C6F7E"/>
    <w:rsid w:val="18F7404E"/>
    <w:rsid w:val="19497A08"/>
    <w:rsid w:val="1ABF4AD2"/>
    <w:rsid w:val="1B0010E1"/>
    <w:rsid w:val="1B9751FA"/>
    <w:rsid w:val="1BF56441"/>
    <w:rsid w:val="1C4B29C7"/>
    <w:rsid w:val="1DF41D1C"/>
    <w:rsid w:val="1E1F7E80"/>
    <w:rsid w:val="1FF62352"/>
    <w:rsid w:val="20961728"/>
    <w:rsid w:val="20E14B26"/>
    <w:rsid w:val="21D60040"/>
    <w:rsid w:val="23665AA8"/>
    <w:rsid w:val="238F4A9F"/>
    <w:rsid w:val="24433111"/>
    <w:rsid w:val="24FB6C04"/>
    <w:rsid w:val="254B6A4A"/>
    <w:rsid w:val="256138F4"/>
    <w:rsid w:val="256641A0"/>
    <w:rsid w:val="25C9374C"/>
    <w:rsid w:val="265B3695"/>
    <w:rsid w:val="265F3E26"/>
    <w:rsid w:val="26682D07"/>
    <w:rsid w:val="266E3496"/>
    <w:rsid w:val="26BF3D67"/>
    <w:rsid w:val="26C5028C"/>
    <w:rsid w:val="27820C2E"/>
    <w:rsid w:val="27EC2DFD"/>
    <w:rsid w:val="280939C8"/>
    <w:rsid w:val="28435742"/>
    <w:rsid w:val="28D54661"/>
    <w:rsid w:val="29EA1AB8"/>
    <w:rsid w:val="2A541CD2"/>
    <w:rsid w:val="2AAE60C3"/>
    <w:rsid w:val="2B085B08"/>
    <w:rsid w:val="2B5B461D"/>
    <w:rsid w:val="2C9703FB"/>
    <w:rsid w:val="2CDA49D8"/>
    <w:rsid w:val="2CFF5A59"/>
    <w:rsid w:val="2D0C6236"/>
    <w:rsid w:val="2D984B9F"/>
    <w:rsid w:val="2F45216C"/>
    <w:rsid w:val="2F592B35"/>
    <w:rsid w:val="2F801687"/>
    <w:rsid w:val="2F976D34"/>
    <w:rsid w:val="2F9F48EA"/>
    <w:rsid w:val="3066026E"/>
    <w:rsid w:val="3068672C"/>
    <w:rsid w:val="3097137D"/>
    <w:rsid w:val="30F97C27"/>
    <w:rsid w:val="31261186"/>
    <w:rsid w:val="31B727CC"/>
    <w:rsid w:val="3239289E"/>
    <w:rsid w:val="32BF6F0E"/>
    <w:rsid w:val="332A4AAD"/>
    <w:rsid w:val="33A60EBE"/>
    <w:rsid w:val="349933F0"/>
    <w:rsid w:val="350B5BC4"/>
    <w:rsid w:val="355314E4"/>
    <w:rsid w:val="361C58DC"/>
    <w:rsid w:val="367D0034"/>
    <w:rsid w:val="36D60D23"/>
    <w:rsid w:val="3716632B"/>
    <w:rsid w:val="373567D0"/>
    <w:rsid w:val="38390B1F"/>
    <w:rsid w:val="38E10575"/>
    <w:rsid w:val="391E574B"/>
    <w:rsid w:val="3A0F0009"/>
    <w:rsid w:val="3A891514"/>
    <w:rsid w:val="3B186465"/>
    <w:rsid w:val="3B304AF8"/>
    <w:rsid w:val="3BBD08B3"/>
    <w:rsid w:val="3C347E74"/>
    <w:rsid w:val="3C9476AB"/>
    <w:rsid w:val="3CBE0DDD"/>
    <w:rsid w:val="3CCF2614"/>
    <w:rsid w:val="3CE4357C"/>
    <w:rsid w:val="3E6C4250"/>
    <w:rsid w:val="409276FC"/>
    <w:rsid w:val="409A4A58"/>
    <w:rsid w:val="41063611"/>
    <w:rsid w:val="436321D6"/>
    <w:rsid w:val="44ED1848"/>
    <w:rsid w:val="4501464F"/>
    <w:rsid w:val="45152B5E"/>
    <w:rsid w:val="454D3313"/>
    <w:rsid w:val="45EC5182"/>
    <w:rsid w:val="466D0A44"/>
    <w:rsid w:val="46FC2F59"/>
    <w:rsid w:val="47704005"/>
    <w:rsid w:val="47CE7B30"/>
    <w:rsid w:val="48320A6D"/>
    <w:rsid w:val="49665ECD"/>
    <w:rsid w:val="49DB6D9A"/>
    <w:rsid w:val="49E405FD"/>
    <w:rsid w:val="4A832C8E"/>
    <w:rsid w:val="4AE0479D"/>
    <w:rsid w:val="4B132B25"/>
    <w:rsid w:val="4CA12B55"/>
    <w:rsid w:val="4DD855CE"/>
    <w:rsid w:val="4E393B9C"/>
    <w:rsid w:val="4E3C1E3F"/>
    <w:rsid w:val="4E74227E"/>
    <w:rsid w:val="4F2E0073"/>
    <w:rsid w:val="4FC66C12"/>
    <w:rsid w:val="515F3EA3"/>
    <w:rsid w:val="51774C79"/>
    <w:rsid w:val="51B80902"/>
    <w:rsid w:val="5210195B"/>
    <w:rsid w:val="52150254"/>
    <w:rsid w:val="526D0884"/>
    <w:rsid w:val="541A17AD"/>
    <w:rsid w:val="54995C10"/>
    <w:rsid w:val="54D16252"/>
    <w:rsid w:val="54D71CF3"/>
    <w:rsid w:val="552E51AE"/>
    <w:rsid w:val="56F62694"/>
    <w:rsid w:val="56FB2027"/>
    <w:rsid w:val="57151E65"/>
    <w:rsid w:val="573B37C8"/>
    <w:rsid w:val="57C35458"/>
    <w:rsid w:val="57F85EA0"/>
    <w:rsid w:val="58C54976"/>
    <w:rsid w:val="59ED2927"/>
    <w:rsid w:val="5A6F0BE6"/>
    <w:rsid w:val="5ABF5881"/>
    <w:rsid w:val="5AD903CB"/>
    <w:rsid w:val="5B802ABB"/>
    <w:rsid w:val="5B8B039F"/>
    <w:rsid w:val="5B98169C"/>
    <w:rsid w:val="5C4B1D6F"/>
    <w:rsid w:val="5CC37222"/>
    <w:rsid w:val="5E224403"/>
    <w:rsid w:val="5E7A05B2"/>
    <w:rsid w:val="5F125147"/>
    <w:rsid w:val="5FB6318C"/>
    <w:rsid w:val="5FC1509E"/>
    <w:rsid w:val="606577D4"/>
    <w:rsid w:val="60940065"/>
    <w:rsid w:val="609D68A3"/>
    <w:rsid w:val="60D014D1"/>
    <w:rsid w:val="628F5F78"/>
    <w:rsid w:val="632B4B99"/>
    <w:rsid w:val="63744C0F"/>
    <w:rsid w:val="64AA4C39"/>
    <w:rsid w:val="6535232C"/>
    <w:rsid w:val="65743FFF"/>
    <w:rsid w:val="6613022E"/>
    <w:rsid w:val="671D056E"/>
    <w:rsid w:val="67AA3A0C"/>
    <w:rsid w:val="67C3669A"/>
    <w:rsid w:val="67DF71A8"/>
    <w:rsid w:val="687A1595"/>
    <w:rsid w:val="68A87532"/>
    <w:rsid w:val="68A9270B"/>
    <w:rsid w:val="691F673F"/>
    <w:rsid w:val="69B718E2"/>
    <w:rsid w:val="69F13AD2"/>
    <w:rsid w:val="6A1B40C8"/>
    <w:rsid w:val="6A483DB4"/>
    <w:rsid w:val="6A9A431F"/>
    <w:rsid w:val="6C6501C7"/>
    <w:rsid w:val="6C70192B"/>
    <w:rsid w:val="6D030F9D"/>
    <w:rsid w:val="6D6D044D"/>
    <w:rsid w:val="6F621F9D"/>
    <w:rsid w:val="6FB35BBE"/>
    <w:rsid w:val="6FBB792C"/>
    <w:rsid w:val="70D33E50"/>
    <w:rsid w:val="71896176"/>
    <w:rsid w:val="72A84A8F"/>
    <w:rsid w:val="739C3AAC"/>
    <w:rsid w:val="747A080F"/>
    <w:rsid w:val="74AB0E3C"/>
    <w:rsid w:val="74F600EB"/>
    <w:rsid w:val="7545208D"/>
    <w:rsid w:val="757F27D9"/>
    <w:rsid w:val="75B21A4D"/>
    <w:rsid w:val="76DF2C9B"/>
    <w:rsid w:val="788E4794"/>
    <w:rsid w:val="78C23DA2"/>
    <w:rsid w:val="790B1518"/>
    <w:rsid w:val="7A1A2CA8"/>
    <w:rsid w:val="7A902613"/>
    <w:rsid w:val="7B851A17"/>
    <w:rsid w:val="7D254FA8"/>
    <w:rsid w:val="7D3E39A0"/>
    <w:rsid w:val="7DEF3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7">
    <w:name w:val="apple-converted-space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388</Words>
  <Characters>2216</Characters>
  <Lines>18</Lines>
  <Paragraphs>5</Paragraphs>
  <TotalTime>57</TotalTime>
  <ScaleCrop>false</ScaleCrop>
  <LinksUpToDate>false</LinksUpToDate>
  <CharactersWithSpaces>2599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2018-09-27T06:22:00Z</dcterms:created>
  <dc:creator>Lohas.族</dc:creator>
  <cp:lastModifiedBy>日落的海边</cp:lastModifiedBy>
  <dcterms:modified xsi:type="dcterms:W3CDTF">2019-04-02T10:32:28Z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